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442E" w:rsidRDefault="0051442E" w:rsidP="0051442E">
      <w:pPr>
        <w:jc w:val="center"/>
      </w:pPr>
      <w:r w:rsidRPr="00FB2239">
        <w:rPr>
          <w:b/>
          <w:sz w:val="32"/>
          <w:u w:val="single"/>
        </w:rPr>
        <w:t>Steps to carry out when the original VHD is</w:t>
      </w:r>
      <w:r>
        <w:rPr>
          <w:b/>
          <w:sz w:val="32"/>
          <w:u w:val="single"/>
        </w:rPr>
        <w:t xml:space="preserve"> not</w:t>
      </w:r>
      <w:r w:rsidRPr="00FB2239">
        <w:rPr>
          <w:b/>
          <w:sz w:val="32"/>
          <w:u w:val="single"/>
        </w:rPr>
        <w:t xml:space="preserve"> available</w:t>
      </w:r>
    </w:p>
    <w:p w:rsidR="009C2A36" w:rsidRDefault="009C2A36" w:rsidP="00450122">
      <w:pPr>
        <w:jc w:val="both"/>
      </w:pPr>
      <w:bookmarkStart w:id="0" w:name="_GoBack"/>
      <w:bookmarkEnd w:id="0"/>
      <w:r>
        <w:t>These steps are for a customer, who has Virtual Machine/s</w:t>
      </w:r>
      <w:r w:rsidR="00A84401">
        <w:t xml:space="preserve"> (VM) </w:t>
      </w:r>
      <w:r>
        <w:t>having disk/s of the ‘Sparse Disk’ format</w:t>
      </w:r>
      <w:r w:rsidR="00450122">
        <w:t>. These types of disks are usually created by a 3</w:t>
      </w:r>
      <w:r w:rsidR="00450122" w:rsidRPr="00450122">
        <w:rPr>
          <w:vertAlign w:val="superscript"/>
        </w:rPr>
        <w:t>rd</w:t>
      </w:r>
      <w:r w:rsidR="00450122">
        <w:t xml:space="preserve"> Party Software and not by the ESX Server itself</w:t>
      </w:r>
      <w:r w:rsidR="00325CFE">
        <w:t>.</w:t>
      </w:r>
    </w:p>
    <w:p w:rsidR="009C2A36" w:rsidRDefault="00A84401" w:rsidP="00450122">
      <w:pPr>
        <w:jc w:val="both"/>
      </w:pPr>
      <w:r>
        <w:t xml:space="preserve">The ‘Disk Type’ of a VM can be checked in the </w:t>
      </w:r>
      <w:proofErr w:type="spellStart"/>
      <w:r>
        <w:t>vSphere</w:t>
      </w:r>
      <w:proofErr w:type="spellEnd"/>
      <w:r>
        <w:t xml:space="preserve"> Client by – Right Clicking on VM, selecting ‘Edit Settings’ and then clicking on ‘Hard Disk’. If the ‘Disk Type’ is ‘Sparse’ as shown in figure below, then proceed with the other steps to convert this disk type –</w:t>
      </w:r>
    </w:p>
    <w:p w:rsidR="00A84401" w:rsidRDefault="00A84401" w:rsidP="00A84401">
      <w:pPr>
        <w:jc w:val="center"/>
      </w:pPr>
      <w:r>
        <w:rPr>
          <w:noProof/>
        </w:rPr>
        <w:drawing>
          <wp:inline distT="0" distB="0" distL="0" distR="0">
            <wp:extent cx="4056973" cy="3487003"/>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skType.PNG"/>
                    <pic:cNvPicPr/>
                  </pic:nvPicPr>
                  <pic:blipFill>
                    <a:blip r:embed="rId7">
                      <a:extLst>
                        <a:ext uri="{28A0092B-C50C-407E-A947-70E740481C1C}">
                          <a14:useLocalDpi xmlns:a14="http://schemas.microsoft.com/office/drawing/2010/main" val="0"/>
                        </a:ext>
                      </a:extLst>
                    </a:blip>
                    <a:stretch>
                      <a:fillRect/>
                    </a:stretch>
                  </pic:blipFill>
                  <pic:spPr>
                    <a:xfrm>
                      <a:off x="0" y="0"/>
                      <a:ext cx="4056973" cy="3487003"/>
                    </a:xfrm>
                    <a:prstGeom prst="rect">
                      <a:avLst/>
                    </a:prstGeom>
                  </pic:spPr>
                </pic:pic>
              </a:graphicData>
            </a:graphic>
          </wp:inline>
        </w:drawing>
      </w:r>
    </w:p>
    <w:p w:rsidR="00A84401" w:rsidRDefault="00A84401" w:rsidP="00450122">
      <w:pPr>
        <w:jc w:val="both"/>
      </w:pPr>
      <w:r>
        <w:t xml:space="preserve">This method involved the use of VMware’s </w:t>
      </w:r>
      <w:proofErr w:type="spellStart"/>
      <w:r>
        <w:t>vMotion</w:t>
      </w:r>
      <w:proofErr w:type="spellEnd"/>
      <w:r>
        <w:t xml:space="preserve"> Technology. Hence, the customer should have a compatible datastore connected to the ESX Server on which the VM resides.</w:t>
      </w:r>
    </w:p>
    <w:p w:rsidR="00A84401" w:rsidRPr="00450122" w:rsidRDefault="00A84401" w:rsidP="00450122">
      <w:pPr>
        <w:jc w:val="both"/>
        <w:rPr>
          <w:b/>
          <w:sz w:val="28"/>
          <w:u w:val="single"/>
        </w:rPr>
      </w:pPr>
      <w:r w:rsidRPr="00450122">
        <w:rPr>
          <w:b/>
          <w:sz w:val="28"/>
          <w:u w:val="single"/>
        </w:rPr>
        <w:t>Steps for Conversion:</w:t>
      </w:r>
    </w:p>
    <w:p w:rsidR="00A84401" w:rsidRDefault="00A84401" w:rsidP="00450122">
      <w:pPr>
        <w:pStyle w:val="ListParagraph"/>
        <w:numPr>
          <w:ilvl w:val="0"/>
          <w:numId w:val="2"/>
        </w:numPr>
        <w:jc w:val="both"/>
      </w:pPr>
      <w:r>
        <w:t>Power OFF the VM</w:t>
      </w:r>
      <w:r w:rsidR="008E79F7">
        <w:t>.</w:t>
      </w:r>
    </w:p>
    <w:p w:rsidR="008E79F7" w:rsidRDefault="008E79F7" w:rsidP="00450122">
      <w:pPr>
        <w:pStyle w:val="ListParagraph"/>
        <w:numPr>
          <w:ilvl w:val="0"/>
          <w:numId w:val="2"/>
        </w:numPr>
        <w:jc w:val="both"/>
      </w:pPr>
      <w:r>
        <w:t>Right Click the VM and select ‘Migrate’ –</w:t>
      </w:r>
    </w:p>
    <w:p w:rsidR="008E79F7" w:rsidRDefault="008E79F7" w:rsidP="008E79F7">
      <w:pPr>
        <w:pStyle w:val="ListParagraph"/>
        <w:jc w:val="center"/>
      </w:pPr>
      <w:r>
        <w:rPr>
          <w:noProof/>
        </w:rPr>
        <w:lastRenderedPageBreak/>
        <w:drawing>
          <wp:inline distT="0" distB="0" distL="0" distR="0" wp14:anchorId="6009ADD9" wp14:editId="6E5F4202">
            <wp:extent cx="2777320" cy="3552965"/>
            <wp:effectExtent l="0" t="0" r="444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Migrate.png"/>
                    <pic:cNvPicPr/>
                  </pic:nvPicPr>
                  <pic:blipFill>
                    <a:blip r:embed="rId8">
                      <a:extLst>
                        <a:ext uri="{28A0092B-C50C-407E-A947-70E740481C1C}">
                          <a14:useLocalDpi xmlns:a14="http://schemas.microsoft.com/office/drawing/2010/main" val="0"/>
                        </a:ext>
                      </a:extLst>
                    </a:blip>
                    <a:stretch>
                      <a:fillRect/>
                    </a:stretch>
                  </pic:blipFill>
                  <pic:spPr>
                    <a:xfrm>
                      <a:off x="0" y="0"/>
                      <a:ext cx="2779850" cy="3556202"/>
                    </a:xfrm>
                    <a:prstGeom prst="rect">
                      <a:avLst/>
                    </a:prstGeom>
                  </pic:spPr>
                </pic:pic>
              </a:graphicData>
            </a:graphic>
          </wp:inline>
        </w:drawing>
      </w:r>
    </w:p>
    <w:p w:rsidR="008E79F7" w:rsidRDefault="008E79F7" w:rsidP="008E79F7">
      <w:pPr>
        <w:pStyle w:val="ListParagraph"/>
        <w:jc w:val="center"/>
      </w:pPr>
    </w:p>
    <w:p w:rsidR="008E79F7" w:rsidRDefault="008E79F7" w:rsidP="008E79F7">
      <w:pPr>
        <w:pStyle w:val="ListParagraph"/>
        <w:numPr>
          <w:ilvl w:val="0"/>
          <w:numId w:val="2"/>
        </w:numPr>
      </w:pPr>
      <w:r>
        <w:t>Select ‘Change Datastore’ –</w:t>
      </w:r>
    </w:p>
    <w:p w:rsidR="008E79F7" w:rsidRDefault="008E79F7" w:rsidP="008E79F7">
      <w:pPr>
        <w:pStyle w:val="ListParagraph"/>
      </w:pPr>
    </w:p>
    <w:p w:rsidR="008E79F7" w:rsidRDefault="008E79F7" w:rsidP="008E79F7">
      <w:pPr>
        <w:pStyle w:val="ListParagraph"/>
        <w:jc w:val="center"/>
      </w:pPr>
      <w:r>
        <w:rPr>
          <w:noProof/>
        </w:rPr>
        <w:drawing>
          <wp:inline distT="0" distB="0" distL="0" distR="0">
            <wp:extent cx="4061400" cy="3916908"/>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 ChangeDatastore.png"/>
                    <pic:cNvPicPr/>
                  </pic:nvPicPr>
                  <pic:blipFill>
                    <a:blip r:embed="rId9">
                      <a:extLst>
                        <a:ext uri="{28A0092B-C50C-407E-A947-70E740481C1C}">
                          <a14:useLocalDpi xmlns:a14="http://schemas.microsoft.com/office/drawing/2010/main" val="0"/>
                        </a:ext>
                      </a:extLst>
                    </a:blip>
                    <a:stretch>
                      <a:fillRect/>
                    </a:stretch>
                  </pic:blipFill>
                  <pic:spPr>
                    <a:xfrm>
                      <a:off x="0" y="0"/>
                      <a:ext cx="4065201" cy="3920574"/>
                    </a:xfrm>
                    <a:prstGeom prst="rect">
                      <a:avLst/>
                    </a:prstGeom>
                  </pic:spPr>
                </pic:pic>
              </a:graphicData>
            </a:graphic>
          </wp:inline>
        </w:drawing>
      </w:r>
    </w:p>
    <w:p w:rsidR="008E79F7" w:rsidRDefault="008E79F7" w:rsidP="008E79F7">
      <w:pPr>
        <w:pStyle w:val="ListParagraph"/>
        <w:numPr>
          <w:ilvl w:val="0"/>
          <w:numId w:val="2"/>
        </w:numPr>
      </w:pPr>
      <w:r>
        <w:lastRenderedPageBreak/>
        <w:t xml:space="preserve">Select the new Datastore that you want the VMs disks to be migrated to and for ‘Select a Virtual Disk Format’, </w:t>
      </w:r>
      <w:r w:rsidRPr="008E79F7">
        <w:rPr>
          <w:b/>
          <w:u w:val="single"/>
        </w:rPr>
        <w:t>change it</w:t>
      </w:r>
      <w:r>
        <w:t xml:space="preserve"> to – Thick Provision Lazy Zeroed, Thick Provision Eager Zeroed or Thin Provision –</w:t>
      </w:r>
    </w:p>
    <w:p w:rsidR="008E79F7" w:rsidRDefault="008E79F7" w:rsidP="008E79F7">
      <w:pPr>
        <w:pStyle w:val="ListParagraph"/>
      </w:pPr>
    </w:p>
    <w:p w:rsidR="008E79F7" w:rsidRDefault="008E79F7" w:rsidP="008E79F7">
      <w:pPr>
        <w:pStyle w:val="ListParagraph"/>
      </w:pPr>
      <w:r>
        <w:rPr>
          <w:noProof/>
          <w:color w:val="1F497D"/>
        </w:rPr>
        <w:drawing>
          <wp:inline distT="0" distB="0" distL="0" distR="0">
            <wp:extent cx="5943600" cy="2818071"/>
            <wp:effectExtent l="0" t="0" r="0" b="1905"/>
            <wp:docPr id="5" name="Picture 5" descr="cid:image001.jpg@01CE6040.7B684E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1.jpg@01CE6040.7B684ED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5943600" cy="2818071"/>
                    </a:xfrm>
                    <a:prstGeom prst="rect">
                      <a:avLst/>
                    </a:prstGeom>
                    <a:noFill/>
                    <a:ln>
                      <a:noFill/>
                    </a:ln>
                  </pic:spPr>
                </pic:pic>
              </a:graphicData>
            </a:graphic>
          </wp:inline>
        </w:drawing>
      </w:r>
    </w:p>
    <w:p w:rsidR="008E79F7" w:rsidRDefault="008E79F7" w:rsidP="008E79F7"/>
    <w:p w:rsidR="00450122" w:rsidRDefault="00450122" w:rsidP="00450122">
      <w:pPr>
        <w:ind w:left="720"/>
      </w:pPr>
      <w:r w:rsidRPr="00450122">
        <w:rPr>
          <w:b/>
          <w:u w:val="single"/>
        </w:rPr>
        <w:t>NOTE:</w:t>
      </w:r>
      <w:r>
        <w:t xml:space="preserve"> The customer probably wants to select ‘Thin Provision’, since it is similar to the ‘Sparse Disk’ Format</w:t>
      </w:r>
    </w:p>
    <w:p w:rsidR="008E79F7" w:rsidRDefault="008E79F7" w:rsidP="008E79F7">
      <w:pPr>
        <w:pStyle w:val="ListParagraph"/>
        <w:numPr>
          <w:ilvl w:val="0"/>
          <w:numId w:val="2"/>
        </w:numPr>
      </w:pPr>
      <w:r>
        <w:t>Click ‘Next’ and then ‘Finish’.</w:t>
      </w:r>
    </w:p>
    <w:p w:rsidR="008E79F7" w:rsidRDefault="008E79F7" w:rsidP="008E79F7">
      <w:pPr>
        <w:pStyle w:val="ListParagraph"/>
        <w:numPr>
          <w:ilvl w:val="0"/>
          <w:numId w:val="2"/>
        </w:numPr>
      </w:pPr>
      <w:r>
        <w:t>The VMs disk/s would be migrated to the new datastore and the disk type would be changed as selected in Step 4.</w:t>
      </w:r>
    </w:p>
    <w:p w:rsidR="00450122" w:rsidRDefault="008E79F7" w:rsidP="00450122">
      <w:pPr>
        <w:pStyle w:val="ListParagraph"/>
      </w:pPr>
      <w:r>
        <w:t>The ‘Disk Type’ could be checked as shown in the introduction part of the document.</w:t>
      </w:r>
    </w:p>
    <w:sectPr w:rsidR="0045012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74D59"/>
    <w:multiLevelType w:val="hybridMultilevel"/>
    <w:tmpl w:val="01F0A8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6AD2CCD"/>
    <w:multiLevelType w:val="hybridMultilevel"/>
    <w:tmpl w:val="05A02E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2A36"/>
    <w:rsid w:val="002409AD"/>
    <w:rsid w:val="00325CFE"/>
    <w:rsid w:val="00450122"/>
    <w:rsid w:val="004F5392"/>
    <w:rsid w:val="0051442E"/>
    <w:rsid w:val="008E79F7"/>
    <w:rsid w:val="00911576"/>
    <w:rsid w:val="009C2A36"/>
    <w:rsid w:val="00A84401"/>
    <w:rsid w:val="00B86BE6"/>
    <w:rsid w:val="00CA78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C2A36"/>
    <w:pPr>
      <w:ind w:left="720"/>
      <w:contextualSpacing/>
    </w:pPr>
  </w:style>
  <w:style w:type="paragraph" w:styleId="BalloonText">
    <w:name w:val="Balloon Text"/>
    <w:basedOn w:val="Normal"/>
    <w:link w:val="BalloonTextChar"/>
    <w:uiPriority w:val="99"/>
    <w:semiHidden/>
    <w:unhideWhenUsed/>
    <w:rsid w:val="00A844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440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C2A36"/>
    <w:pPr>
      <w:ind w:left="720"/>
      <w:contextualSpacing/>
    </w:pPr>
  </w:style>
  <w:style w:type="paragraph" w:styleId="BalloonText">
    <w:name w:val="Balloon Text"/>
    <w:basedOn w:val="Normal"/>
    <w:link w:val="BalloonTextChar"/>
    <w:uiPriority w:val="99"/>
    <w:semiHidden/>
    <w:unhideWhenUsed/>
    <w:rsid w:val="00A844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440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cid:image001.jpg@01CE6040.7B684ED0" TargetMode="External"/><Relationship Id="rId5" Type="http://schemas.openxmlformats.org/officeDocument/2006/relationships/settings" Target="settings.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B34F45-5B68-4605-8C38-1EFAE27D41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3</Pages>
  <Words>203</Words>
  <Characters>1160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Sanket Ghia</dc:creator>
  <cp:lastModifiedBy>Sanket Ghia</cp:lastModifiedBy>
  <cp:revision>4</cp:revision>
  <dcterms:created xsi:type="dcterms:W3CDTF">2013-06-03T14:55:00Z</dcterms:created>
  <dcterms:modified xsi:type="dcterms:W3CDTF">2013-07-12T20:58:00Z</dcterms:modified>
</cp:coreProperties>
</file>